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035F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035F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06B69" w:rsidRPr="006D68B1" w:rsidRDefault="00806B69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 xml:space="preserve">товки 38.03.02 </w:t>
                  </w:r>
                  <w:r w:rsidRPr="003E329B">
                    <w:rPr>
                      <w:b/>
                    </w:rPr>
                    <w:t>Менеджмент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Направленность (профиль) программы</w:t>
                  </w:r>
                  <w:r w:rsidRPr="008F52FE"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Менеджмент </w:t>
                  </w:r>
                  <w:r w:rsidRPr="008F52FE">
                    <w:rPr>
                      <w:rFonts w:eastAsia="Courier New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8F52FE">
                    <w:rPr>
                      <w:rFonts w:eastAsia="Courier New"/>
                      <w:lang w:bidi="ru-RU"/>
                    </w:rPr>
                    <w:t>организации</w:t>
                  </w:r>
                  <w:r w:rsidRPr="008F52FE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174E8E" w:rsidRPr="00371907">
                    <w:t>27.03.2023 № 51</w:t>
                  </w:r>
                  <w:bookmarkEnd w:id="0"/>
                </w:p>
                <w:p w:rsidR="00806B69" w:rsidRPr="00641D51" w:rsidRDefault="00806B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1E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035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035F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06B69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4E8E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5B054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174E8E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06B69" w:rsidRPr="00C94464" w:rsidRDefault="00806B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AA760C" w:rsidRDefault="003B1451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6808C7" w:rsidRPr="00793E1B" w:rsidRDefault="006808C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="001E653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E653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52B93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952B93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52B93">
        <w:rPr>
          <w:rFonts w:eastAsia="Courier New"/>
          <w:b/>
          <w:sz w:val="24"/>
          <w:szCs w:val="24"/>
          <w:lang w:bidi="ru-RU"/>
        </w:rPr>
        <w:t xml:space="preserve">Менеджмент </w:t>
      </w:r>
      <w:r w:rsidR="00747588">
        <w:rPr>
          <w:rFonts w:eastAsia="Courier New"/>
          <w:b/>
          <w:sz w:val="24"/>
          <w:szCs w:val="24"/>
          <w:lang w:bidi="ru-RU"/>
        </w:rPr>
        <w:t>организации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4E8E" w:rsidRPr="00371907" w:rsidRDefault="00174E8E" w:rsidP="00174E8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81E21" w:rsidRPr="002C784C" w:rsidRDefault="00981E21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74E8E">
        <w:rPr>
          <w:sz w:val="24"/>
          <w:szCs w:val="24"/>
        </w:rPr>
        <w:t>Омск 2023</w:t>
      </w:r>
    </w:p>
    <w:p w:rsidR="00981E21" w:rsidRPr="00981E21" w:rsidRDefault="007C277B" w:rsidP="00981E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981E21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60C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Pr="00793E1B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B0548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AA760C" w:rsidRDefault="00AA760C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5B0548" w:rsidRPr="005B0548" w:rsidRDefault="005B0548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5B0548">
        <w:rPr>
          <w:spacing w:val="-3"/>
          <w:sz w:val="28"/>
          <w:szCs w:val="28"/>
          <w:lang w:eastAsia="en-US"/>
        </w:rPr>
        <w:t>к.э.н</w:t>
      </w:r>
      <w:proofErr w:type="spellEnd"/>
      <w:r w:rsidRPr="005B0548">
        <w:rPr>
          <w:spacing w:val="-3"/>
          <w:sz w:val="28"/>
          <w:szCs w:val="28"/>
          <w:lang w:eastAsia="en-US"/>
        </w:rPr>
        <w:t>., доцент _________________ /</w:t>
      </w:r>
      <w:r w:rsidR="006808C7" w:rsidRPr="005B0548">
        <w:rPr>
          <w:spacing w:val="-3"/>
          <w:sz w:val="28"/>
          <w:szCs w:val="28"/>
          <w:lang w:eastAsia="en-US"/>
        </w:rPr>
        <w:t xml:space="preserve">А.И. </w:t>
      </w:r>
      <w:proofErr w:type="spellStart"/>
      <w:r w:rsidR="006808C7" w:rsidRPr="005B0548">
        <w:rPr>
          <w:spacing w:val="-3"/>
          <w:sz w:val="28"/>
          <w:szCs w:val="28"/>
          <w:lang w:eastAsia="en-US"/>
        </w:rPr>
        <w:t>Ридченко</w:t>
      </w:r>
      <w:proofErr w:type="spellEnd"/>
      <w:r w:rsidRPr="005B0548">
        <w:rPr>
          <w:spacing w:val="-3"/>
          <w:sz w:val="28"/>
          <w:szCs w:val="28"/>
          <w:lang w:eastAsia="en-US"/>
        </w:rPr>
        <w:t xml:space="preserve"> /</w:t>
      </w: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B054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B0548" w:rsidRDefault="005B0548" w:rsidP="005B05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5B0548" w:rsidRPr="005B0548" w:rsidRDefault="00174E8E" w:rsidP="005B05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5B0548" w:rsidRPr="005B0548">
        <w:rPr>
          <w:sz w:val="28"/>
          <w:szCs w:val="28"/>
        </w:rPr>
        <w:t xml:space="preserve"> г</w:t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</w:p>
    <w:p w:rsidR="005B0548" w:rsidRDefault="005B0548" w:rsidP="005B0548">
      <w:pPr>
        <w:tabs>
          <w:tab w:val="left" w:pos="0"/>
        </w:tabs>
        <w:rPr>
          <w:sz w:val="28"/>
          <w:szCs w:val="28"/>
        </w:rPr>
      </w:pPr>
    </w:p>
    <w:p w:rsidR="005B0548" w:rsidRDefault="005B0548" w:rsidP="005B0548">
      <w:pPr>
        <w:tabs>
          <w:tab w:val="left" w:pos="0"/>
        </w:tabs>
        <w:rPr>
          <w:sz w:val="28"/>
          <w:szCs w:val="28"/>
        </w:rPr>
      </w:pPr>
    </w:p>
    <w:p w:rsidR="005B0548" w:rsidRPr="005B0548" w:rsidRDefault="005B0548" w:rsidP="005B0548">
      <w:pPr>
        <w:tabs>
          <w:tab w:val="left" w:pos="0"/>
        </w:tabs>
        <w:rPr>
          <w:sz w:val="28"/>
          <w:szCs w:val="28"/>
        </w:rPr>
      </w:pPr>
      <w:r w:rsidRPr="005B054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B0548">
        <w:rPr>
          <w:sz w:val="28"/>
          <w:szCs w:val="28"/>
        </w:rPr>
        <w:t>к</w:t>
      </w:r>
      <w:proofErr w:type="gramEnd"/>
      <w:r w:rsidRPr="005B0548">
        <w:rPr>
          <w:sz w:val="28"/>
          <w:szCs w:val="28"/>
        </w:rPr>
        <w:t>.э.н</w:t>
      </w:r>
      <w:proofErr w:type="spellEnd"/>
      <w:r w:rsidRPr="005B0548">
        <w:rPr>
          <w:sz w:val="28"/>
          <w:szCs w:val="28"/>
        </w:rPr>
        <w:t>., доцент                                /</w:t>
      </w:r>
      <w:r w:rsidR="00174E8E">
        <w:rPr>
          <w:spacing w:val="-3"/>
          <w:sz w:val="28"/>
          <w:szCs w:val="28"/>
          <w:lang w:eastAsia="en-US"/>
        </w:rPr>
        <w:t>О.В Сергиенко</w:t>
      </w:r>
      <w:r w:rsidRPr="005B0548">
        <w:rPr>
          <w:sz w:val="28"/>
          <w:szCs w:val="28"/>
        </w:rPr>
        <w:t xml:space="preserve">/ </w:t>
      </w:r>
    </w:p>
    <w:p w:rsidR="002933E5" w:rsidRPr="00951F6B" w:rsidRDefault="00AA760C" w:rsidP="00981E2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81E21" w:rsidRPr="002C784C" w:rsidRDefault="00981E21" w:rsidP="00981E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81E21" w:rsidRPr="002C784C" w:rsidRDefault="00981E21" w:rsidP="00981E2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0548" w:rsidRPr="00E535BC" w:rsidRDefault="005B0548" w:rsidP="005B054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E21" w:rsidRPr="006E1872" w:rsidRDefault="00981E21" w:rsidP="00981E2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174E8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3B1451">
        <w:rPr>
          <w:b/>
          <w:bCs/>
          <w:sz w:val="24"/>
          <w:szCs w:val="24"/>
        </w:rPr>
        <w:t>Б</w:t>
      </w:r>
      <w:proofErr w:type="gramStart"/>
      <w:r w:rsidR="003B1451">
        <w:rPr>
          <w:b/>
          <w:bCs/>
          <w:sz w:val="24"/>
          <w:szCs w:val="24"/>
        </w:rPr>
        <w:t>1</w:t>
      </w:r>
      <w:proofErr w:type="gramEnd"/>
      <w:r w:rsidR="003B1451">
        <w:rPr>
          <w:b/>
          <w:bCs/>
          <w:sz w:val="24"/>
          <w:szCs w:val="24"/>
        </w:rPr>
        <w:t>.Б.22</w:t>
      </w:r>
      <w:r w:rsidR="00DF4D20">
        <w:rPr>
          <w:bCs/>
          <w:sz w:val="24"/>
          <w:szCs w:val="24"/>
        </w:rPr>
        <w:t xml:space="preserve"> </w:t>
      </w:r>
      <w:r w:rsidR="00DF4D20" w:rsidRPr="000B40A9">
        <w:rPr>
          <w:b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174E8E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174E8E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981E21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174E8E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174E8E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3B145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3B145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3B1451">
        <w:rPr>
          <w:rFonts w:ascii="Times New Roman" w:hAnsi="Times New Roman"/>
          <w:b/>
          <w:color w:val="000000"/>
          <w:sz w:val="24"/>
          <w:szCs w:val="24"/>
        </w:rPr>
        <w:t>.Б.22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 «Бизнес-планирование»</w:t>
      </w:r>
    </w:p>
    <w:p w:rsidR="007F4B97" w:rsidRPr="00793E1B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81E21" w:rsidRPr="006E1872" w:rsidRDefault="002B6C87" w:rsidP="00981E2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81E2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81E21" w:rsidRPr="009708A5">
        <w:rPr>
          <w:b/>
          <w:sz w:val="24"/>
          <w:szCs w:val="24"/>
        </w:rPr>
        <w:t>38.03.02 Менеджмент</w:t>
      </w:r>
      <w:r w:rsidR="00981E2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981E21" w:rsidRPr="006E1872">
        <w:rPr>
          <w:sz w:val="24"/>
          <w:szCs w:val="24"/>
        </w:rPr>
        <w:t>Минобрнауки</w:t>
      </w:r>
      <w:proofErr w:type="spellEnd"/>
      <w:r w:rsidR="00981E21" w:rsidRPr="006E1872">
        <w:rPr>
          <w:sz w:val="24"/>
          <w:szCs w:val="24"/>
        </w:rPr>
        <w:t xml:space="preserve"> России от </w:t>
      </w:r>
      <w:r w:rsidR="00981E21">
        <w:rPr>
          <w:color w:val="000000"/>
          <w:sz w:val="24"/>
          <w:szCs w:val="24"/>
        </w:rPr>
        <w:t>12.01</w:t>
      </w:r>
      <w:r w:rsidR="00981E21" w:rsidRPr="00EB6EDB">
        <w:rPr>
          <w:color w:val="000000"/>
          <w:sz w:val="24"/>
          <w:szCs w:val="24"/>
        </w:rPr>
        <w:t>.201</w:t>
      </w:r>
      <w:r w:rsidR="00981E21">
        <w:rPr>
          <w:color w:val="000000"/>
          <w:sz w:val="24"/>
          <w:szCs w:val="24"/>
        </w:rPr>
        <w:t>6</w:t>
      </w:r>
      <w:r w:rsidR="00981E21">
        <w:rPr>
          <w:bCs/>
          <w:sz w:val="24"/>
          <w:szCs w:val="24"/>
        </w:rPr>
        <w:t xml:space="preserve"> </w:t>
      </w:r>
      <w:r w:rsidR="00981E21" w:rsidRPr="006E1872">
        <w:rPr>
          <w:bCs/>
          <w:sz w:val="24"/>
          <w:szCs w:val="24"/>
        </w:rPr>
        <w:t xml:space="preserve">N </w:t>
      </w:r>
      <w:r w:rsidR="00981E21">
        <w:rPr>
          <w:bCs/>
          <w:sz w:val="24"/>
          <w:szCs w:val="24"/>
        </w:rPr>
        <w:t xml:space="preserve">7 </w:t>
      </w:r>
      <w:r w:rsidR="00981E21">
        <w:rPr>
          <w:sz w:val="24"/>
          <w:szCs w:val="24"/>
        </w:rPr>
        <w:t>(ред. от 13.07.2017)</w:t>
      </w:r>
      <w:r w:rsidR="00981E21" w:rsidRPr="006E1872">
        <w:rPr>
          <w:sz w:val="24"/>
          <w:szCs w:val="24"/>
        </w:rPr>
        <w:t xml:space="preserve"> (зарегистрирован в Минюсте России </w:t>
      </w:r>
      <w:r w:rsidR="00981E21">
        <w:rPr>
          <w:bCs/>
          <w:sz w:val="24"/>
          <w:szCs w:val="24"/>
        </w:rPr>
        <w:t>09.02.2016</w:t>
      </w:r>
      <w:r w:rsidR="00981E21" w:rsidRPr="006E1872">
        <w:rPr>
          <w:bCs/>
          <w:sz w:val="24"/>
          <w:szCs w:val="24"/>
        </w:rPr>
        <w:t xml:space="preserve"> N </w:t>
      </w:r>
      <w:r w:rsidR="00981E21">
        <w:rPr>
          <w:bCs/>
          <w:sz w:val="24"/>
          <w:szCs w:val="24"/>
        </w:rPr>
        <w:t>41028</w:t>
      </w:r>
      <w:r w:rsidR="00981E21" w:rsidRPr="006E1872">
        <w:rPr>
          <w:sz w:val="24"/>
          <w:szCs w:val="24"/>
        </w:rPr>
        <w:t xml:space="preserve">) (далее - ФГОС </w:t>
      </w:r>
      <w:proofErr w:type="gramStart"/>
      <w:r w:rsidR="00981E21" w:rsidRPr="006E1872">
        <w:rPr>
          <w:sz w:val="24"/>
          <w:szCs w:val="24"/>
        </w:rPr>
        <w:t>ВО</w:t>
      </w:r>
      <w:proofErr w:type="gramEnd"/>
      <w:r w:rsidR="00981E2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81E2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81E2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981E2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81E2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81E2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4DDD" w:rsidRPr="009B7136" w:rsidTr="00330957">
        <w:tc>
          <w:tcPr>
            <w:tcW w:w="3049" w:type="dxa"/>
            <w:vAlign w:val="center"/>
          </w:tcPr>
          <w:p w:rsidR="002C4DDD" w:rsidRDefault="002C4DD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4DDD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2C4DDD" w:rsidRPr="009B7136" w:rsidRDefault="002C4DDD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C4DDD" w:rsidRPr="009B7136" w:rsidRDefault="002C4DDD" w:rsidP="005A7B9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  <w:tr w:rsidR="001D7E91" w:rsidRPr="009B7136" w:rsidTr="00330957">
        <w:tc>
          <w:tcPr>
            <w:tcW w:w="3049" w:type="dxa"/>
            <w:vAlign w:val="center"/>
          </w:tcPr>
          <w:p w:rsidR="00C976F5" w:rsidRPr="009B7136" w:rsidRDefault="000A33B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>мение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 xml:space="preserve"> моделировать бизнес-процессы и использовать методы 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lastRenderedPageBreak/>
              <w:t>реорганизации бизнес-процессов в практической деятельности организаций</w:t>
            </w: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B7136" w:rsidRPr="009B7136" w:rsidRDefault="009B7136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D7E91" w:rsidRPr="009B7136" w:rsidRDefault="001D7E91" w:rsidP="009B713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B7136" w:rsidRDefault="00DF4D20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713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  <w:r w:rsidR="00D225A3" w:rsidRPr="009B71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Pr="009B7136" w:rsidRDefault="00CB193F" w:rsidP="005739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92C2A" w:rsidRPr="0032237D" w:rsidRDefault="00892C2A" w:rsidP="00981E21">
            <w:pPr>
              <w:pStyle w:val="a6"/>
              <w:numPr>
                <w:ilvl w:val="0"/>
                <w:numId w:val="6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 xml:space="preserve">методы моделирования бизнес-процессов и их использования для </w:t>
            </w:r>
            <w:r w:rsidRPr="002E3773">
              <w:rPr>
                <w:sz w:val="24"/>
                <w:szCs w:val="24"/>
                <w:lang w:val="ru-RU"/>
              </w:rPr>
              <w:lastRenderedPageBreak/>
              <w:t>реорганизации бизнес-процессов;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sz w:val="24"/>
                <w:szCs w:val="24"/>
              </w:rPr>
              <w:t xml:space="preserve">как использовать в практической деятельности организаций информацию, полученную в результате маркетинговых </w:t>
            </w: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9B7136">
              <w:rPr>
                <w:rFonts w:ascii="Times New Roman" w:hAnsi="Times New Roman"/>
                <w:sz w:val="24"/>
                <w:szCs w:val="24"/>
              </w:rPr>
              <w:t xml:space="preserve"> и сравнительного анализа лучших практик в менеджменте;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одного из видов планирования;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задачи, функции и основные этапы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32237D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моделировать бизнес-процессы и использовать методы реорганизации бизнес-процессов;</w:t>
            </w:r>
          </w:p>
          <w:p w:rsidR="00C976F5" w:rsidRPr="0032237D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находить и оценивать новые рыночные возможности и формулировать бизнес-идею;</w:t>
            </w:r>
          </w:p>
          <w:p w:rsidR="00C976F5" w:rsidRPr="0032237D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C976F5" w:rsidRPr="009B7136" w:rsidRDefault="00C976F5" w:rsidP="00981E21">
            <w:pPr>
              <w:widowControl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C976F5" w:rsidRPr="009B7136" w:rsidRDefault="00C976F5" w:rsidP="00981E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</w:t>
            </w:r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32237D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способностью анализировать финансовую отчетность и принимать обоснованные инвестиционные, кредитные и финансовые решения;</w:t>
            </w:r>
          </w:p>
          <w:p w:rsidR="009B7136" w:rsidRPr="0032237D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способностью оценивать эффективность использования различных систем уче</w:t>
            </w:r>
            <w:r w:rsidR="009B7136" w:rsidRPr="002E3773">
              <w:rPr>
                <w:sz w:val="24"/>
                <w:szCs w:val="24"/>
                <w:lang w:val="ru-RU"/>
              </w:rPr>
              <w:t>та и распределения затрат;</w:t>
            </w:r>
          </w:p>
          <w:p w:rsidR="00D73B9C" w:rsidRPr="0032237D" w:rsidRDefault="009B7136" w:rsidP="009927ED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 xml:space="preserve"> навыками</w:t>
            </w:r>
            <w:r w:rsidR="00C976F5" w:rsidRPr="002E37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76F5" w:rsidRPr="002E3773">
              <w:rPr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="00C976F5" w:rsidRPr="002E3773">
              <w:rPr>
                <w:sz w:val="24"/>
                <w:szCs w:val="24"/>
                <w:lang w:val="ru-RU"/>
              </w:rPr>
      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</w:t>
            </w:r>
            <w:r w:rsidRPr="002E377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93F01" w:rsidRPr="009B7136" w:rsidRDefault="00793F01" w:rsidP="009B713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175B" w:rsidRDefault="007F4B97" w:rsidP="00981E21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175B">
        <w:rPr>
          <w:bCs/>
          <w:sz w:val="24"/>
          <w:szCs w:val="24"/>
        </w:rPr>
        <w:t>Б</w:t>
      </w:r>
      <w:proofErr w:type="gramStart"/>
      <w:r w:rsidR="005A175B">
        <w:rPr>
          <w:bCs/>
          <w:sz w:val="24"/>
          <w:szCs w:val="24"/>
        </w:rPr>
        <w:t>1</w:t>
      </w:r>
      <w:proofErr w:type="gramEnd"/>
      <w:r w:rsidR="005A175B">
        <w:rPr>
          <w:bCs/>
          <w:sz w:val="24"/>
          <w:szCs w:val="24"/>
        </w:rPr>
        <w:t>.Б.22</w:t>
      </w:r>
      <w:r w:rsidR="005A175B">
        <w:rPr>
          <w:b/>
          <w:sz w:val="24"/>
          <w:szCs w:val="24"/>
        </w:rPr>
        <w:t xml:space="preserve"> 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81E2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81E2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93"/>
        <w:gridCol w:w="2137"/>
        <w:gridCol w:w="2384"/>
        <w:gridCol w:w="1160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3B14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DA3FFC" w:rsidRPr="001F3561" w:rsidRDefault="00B67A7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232" w:type="dxa"/>
            <w:vAlign w:val="center"/>
          </w:tcPr>
          <w:p w:rsidR="00CD2BF7" w:rsidRPr="00B841C1" w:rsidRDefault="00CD2BF7" w:rsidP="00CD2B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 xml:space="preserve">своение программы </w:t>
            </w:r>
            <w:r w:rsidRPr="00B841C1">
              <w:rPr>
                <w:sz w:val="24"/>
                <w:szCs w:val="24"/>
              </w:rPr>
              <w:lastRenderedPageBreak/>
              <w:t>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 </w:t>
            </w:r>
          </w:p>
          <w:p w:rsidR="00F40FEC" w:rsidRDefault="00943DB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="00741155">
              <w:rPr>
                <w:sz w:val="24"/>
                <w:szCs w:val="24"/>
              </w:rPr>
              <w:t>,</w:t>
            </w:r>
            <w:r w:rsidR="001F3561" w:rsidRPr="001F3561">
              <w:rPr>
                <w:sz w:val="24"/>
                <w:szCs w:val="24"/>
              </w:rPr>
              <w:t xml:space="preserve"> </w:t>
            </w:r>
          </w:p>
          <w:p w:rsidR="00741155" w:rsidRPr="001F3561" w:rsidRDefault="004C287A" w:rsidP="00943D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>татистика</w:t>
            </w:r>
          </w:p>
        </w:tc>
        <w:tc>
          <w:tcPr>
            <w:tcW w:w="2464" w:type="dxa"/>
            <w:vAlign w:val="center"/>
          </w:tcPr>
          <w:p w:rsidR="002B6C87" w:rsidRPr="001F3561" w:rsidRDefault="00943DB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DB8">
              <w:rPr>
                <w:sz w:val="24"/>
                <w:szCs w:val="24"/>
              </w:rPr>
              <w:lastRenderedPageBreak/>
              <w:t>Финансовый менеджмент</w:t>
            </w:r>
            <w:r w:rsidR="001F3561" w:rsidRPr="001F3561">
              <w:rPr>
                <w:sz w:val="24"/>
                <w:szCs w:val="24"/>
              </w:rPr>
              <w:t xml:space="preserve">, </w:t>
            </w:r>
            <w:r w:rsidRPr="00943DB8">
              <w:rPr>
                <w:sz w:val="24"/>
                <w:szCs w:val="24"/>
              </w:rPr>
              <w:t xml:space="preserve">Экономический </w:t>
            </w:r>
            <w:r w:rsidRPr="00943DB8">
              <w:rPr>
                <w:sz w:val="24"/>
                <w:szCs w:val="24"/>
              </w:rPr>
              <w:lastRenderedPageBreak/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2C4DDD" w:rsidRDefault="002C4DD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67A7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46CE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46CEF" w:rsidRPr="001F3561" w:rsidRDefault="00646CEF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F2742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C907AE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 – 10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8C579E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2FFC" w:rsidRPr="008C579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8C579E" w:rsidRDefault="004D3618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8C579E" w:rsidRDefault="004D3618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8C579E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741155" w:rsidRPr="008C579E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741155" w:rsidRPr="00741155" w:rsidTr="004D3618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41155" w:rsidRPr="004D3618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6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4D3618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CC0F5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41155" w:rsidRPr="004D3618" w:rsidRDefault="004551D0" w:rsidP="002C0E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61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A2C1D" w:rsidRPr="004D3618">
              <w:rPr>
                <w:rFonts w:eastAsia="Calibri"/>
                <w:sz w:val="24"/>
                <w:szCs w:val="24"/>
                <w:lang w:eastAsia="en-US"/>
              </w:rPr>
              <w:t xml:space="preserve">ачёт </w:t>
            </w:r>
            <w:r w:rsidR="00BD471B" w:rsidRPr="004D3618">
              <w:rPr>
                <w:rFonts w:eastAsia="Calibri"/>
                <w:sz w:val="24"/>
                <w:szCs w:val="24"/>
                <w:lang w:eastAsia="en-US"/>
              </w:rPr>
              <w:t>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08" w:type="dxa"/>
        <w:jc w:val="center"/>
        <w:tblLayout w:type="fixed"/>
        <w:tblLook w:val="00A0"/>
      </w:tblPr>
      <w:tblGrid>
        <w:gridCol w:w="5708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B44FF6" w:rsidRPr="00B44FF6" w:rsidTr="00806B69">
        <w:trPr>
          <w:gridAfter w:val="1"/>
          <w:wAfter w:w="118" w:type="dxa"/>
          <w:trHeight w:val="296"/>
          <w:jc w:val="center"/>
        </w:trPr>
        <w:tc>
          <w:tcPr>
            <w:tcW w:w="99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225A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25A3" w:rsidRPr="00CE4EE6" w:rsidTr="00806B69">
        <w:tblPrEx>
          <w:tblLook w:val="04A0"/>
        </w:tblPrEx>
        <w:trPr>
          <w:trHeight w:val="510"/>
          <w:jc w:val="center"/>
        </w:trPr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527102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7F4B97" w:rsidRPr="00D225A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225A3">
        <w:rPr>
          <w:b/>
          <w:color w:val="000000"/>
          <w:sz w:val="24"/>
          <w:szCs w:val="24"/>
        </w:rPr>
        <w:t xml:space="preserve">5.2. </w:t>
      </w:r>
      <w:r w:rsidR="007F4B97" w:rsidRPr="00D225A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225A3">
        <w:rPr>
          <w:b/>
          <w:color w:val="000000"/>
          <w:sz w:val="24"/>
          <w:szCs w:val="24"/>
        </w:rPr>
        <w:t>за</w:t>
      </w:r>
      <w:r w:rsidR="007F4B97" w:rsidRPr="00D225A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C0F53" w:rsidRPr="00B44FF6" w:rsidTr="008E7060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F53" w:rsidRPr="00B44FF6" w:rsidRDefault="00CC0F53" w:rsidP="008E70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0F53" w:rsidRPr="00CE4EE6" w:rsidTr="008E7060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527102" w:rsidP="008E7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20E92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C0E2E"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45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D225A3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25BE5" w:rsidRPr="00981E21" w:rsidRDefault="00A25BE5" w:rsidP="00A25BE5">
      <w:pPr>
        <w:ind w:firstLine="709"/>
        <w:jc w:val="both"/>
        <w:rPr>
          <w:b/>
          <w:i/>
        </w:rPr>
      </w:pPr>
      <w:r w:rsidRPr="00981E21">
        <w:rPr>
          <w:b/>
          <w:i/>
        </w:rPr>
        <w:t>* Примечания:</w:t>
      </w:r>
    </w:p>
    <w:p w:rsidR="00A25BE5" w:rsidRPr="00981E21" w:rsidRDefault="00A25BE5" w:rsidP="00A25BE5">
      <w:pPr>
        <w:ind w:firstLine="709"/>
        <w:jc w:val="both"/>
        <w:rPr>
          <w:b/>
        </w:rPr>
      </w:pPr>
      <w:proofErr w:type="gramStart"/>
      <w:r w:rsidRPr="00981E2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E21" w:rsidRPr="00DC470C" w:rsidRDefault="00A25BE5" w:rsidP="00981E21">
      <w:pPr>
        <w:ind w:firstLine="709"/>
        <w:jc w:val="both"/>
      </w:pPr>
      <w:r w:rsidRPr="00981E21">
        <w:t xml:space="preserve">При разработке образовательной программы высшего образования в части рабочей программы дисциплины </w:t>
      </w:r>
      <w:r w:rsidRPr="00981E21">
        <w:rPr>
          <w:b/>
        </w:rPr>
        <w:t>«История»</w:t>
      </w:r>
      <w:r w:rsidRPr="00981E21">
        <w:t xml:space="preserve"> </w:t>
      </w:r>
      <w:r w:rsidR="00981E21" w:rsidRPr="00DC470C">
        <w:t xml:space="preserve">согласно требованиям </w:t>
      </w:r>
      <w:r w:rsidR="00981E21" w:rsidRPr="00DC470C">
        <w:rPr>
          <w:b/>
        </w:rPr>
        <w:t>частей 3-5 статьи 13, статьи 30, пункта 3 части 1 статьи 34</w:t>
      </w:r>
      <w:r w:rsidR="00981E21" w:rsidRPr="00DC470C">
        <w:t xml:space="preserve"> Федерального закона Российской Федерации </w:t>
      </w:r>
      <w:r w:rsidR="00981E21" w:rsidRPr="00DC470C">
        <w:rPr>
          <w:b/>
        </w:rPr>
        <w:t>от 29.12.2012 № 273-ФЗ</w:t>
      </w:r>
      <w:r w:rsidR="00981E21" w:rsidRPr="00DC470C">
        <w:t xml:space="preserve"> «Об образовании в Российской Федерации»; </w:t>
      </w:r>
      <w:proofErr w:type="gramStart"/>
      <w:r w:rsidR="00981E21" w:rsidRPr="00DC470C">
        <w:rPr>
          <w:b/>
        </w:rPr>
        <w:t>пунктов 16, 38</w:t>
      </w:r>
      <w:r w:rsidR="00981E2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81E21" w:rsidRPr="00DC470C">
        <w:t>бакалавриата</w:t>
      </w:r>
      <w:proofErr w:type="spellEnd"/>
      <w:r w:rsidR="00981E21" w:rsidRPr="00DC470C">
        <w:t xml:space="preserve">, программам </w:t>
      </w:r>
      <w:proofErr w:type="spellStart"/>
      <w:r w:rsidR="00981E21" w:rsidRPr="00DC470C">
        <w:t>специалитета</w:t>
      </w:r>
      <w:proofErr w:type="spellEnd"/>
      <w:r w:rsidR="00981E21" w:rsidRPr="00DC470C">
        <w:t xml:space="preserve">, программам магистратуры, утвержденного приказом </w:t>
      </w:r>
      <w:proofErr w:type="spellStart"/>
      <w:r w:rsidR="00981E21" w:rsidRPr="00DC470C">
        <w:t>Минобрнауки</w:t>
      </w:r>
      <w:proofErr w:type="spellEnd"/>
      <w:r w:rsidR="00981E2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81E21" w:rsidRPr="00DC470C">
        <w:t xml:space="preserve"> </w:t>
      </w:r>
      <w:proofErr w:type="gramStart"/>
      <w:r w:rsidR="00981E2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81E21" w:rsidRPr="00DC470C">
        <w:t xml:space="preserve"> </w:t>
      </w:r>
      <w:proofErr w:type="gramStart"/>
      <w:r w:rsidR="00981E2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81E21" w:rsidRPr="00DC470C" w:rsidRDefault="00981E21" w:rsidP="00981E2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lastRenderedPageBreak/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1E21" w:rsidRDefault="00981E21" w:rsidP="00981E2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981E2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lastRenderedPageBreak/>
        <w:t xml:space="preserve">Понятие маркетинговой среды организации. </w:t>
      </w:r>
      <w:proofErr w:type="gramStart"/>
      <w:r w:rsidRPr="00D534E9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>-анализ.</w:t>
      </w:r>
      <w:proofErr w:type="gramEnd"/>
      <w:r w:rsidRPr="00D534E9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>). Маркетинговые тактики.</w:t>
      </w: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 xml:space="preserve">Алгоритм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3"/>
          <w:sz w:val="24"/>
          <w:szCs w:val="24"/>
        </w:rPr>
      </w:pPr>
      <w:r w:rsidRPr="00D534E9">
        <w:rPr>
          <w:rStyle w:val="af3"/>
          <w:sz w:val="24"/>
          <w:szCs w:val="24"/>
        </w:rPr>
        <w:t>Прог</w:t>
      </w:r>
      <w:r>
        <w:rPr>
          <w:rStyle w:val="af3"/>
          <w:sz w:val="24"/>
          <w:szCs w:val="24"/>
        </w:rPr>
        <w:t xml:space="preserve">ноз конъюнктуры рынка. </w:t>
      </w:r>
      <w:r w:rsidRPr="00D534E9">
        <w:rPr>
          <w:rStyle w:val="af3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</w:t>
      </w:r>
      <w:r>
        <w:rPr>
          <w:rStyle w:val="af3"/>
          <w:sz w:val="24"/>
          <w:szCs w:val="24"/>
        </w:rPr>
        <w:t xml:space="preserve"> </w:t>
      </w:r>
      <w:r w:rsidRPr="00D534E9">
        <w:rPr>
          <w:rStyle w:val="af3"/>
          <w:sz w:val="24"/>
          <w:szCs w:val="24"/>
        </w:rPr>
        <w:t>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3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</w:t>
      </w:r>
      <w:r>
        <w:rPr>
          <w:sz w:val="24"/>
          <w:szCs w:val="24"/>
        </w:rPr>
        <w:t xml:space="preserve"> </w:t>
      </w:r>
      <w:r w:rsidRPr="00CE4EE6">
        <w:rPr>
          <w:color w:val="000000"/>
          <w:sz w:val="24"/>
          <w:szCs w:val="24"/>
        </w:rPr>
        <w:t>Производ</w:t>
      </w:r>
      <w:r w:rsidR="002C226A">
        <w:rPr>
          <w:color w:val="000000"/>
          <w:sz w:val="24"/>
          <w:szCs w:val="24"/>
        </w:rPr>
        <w:t>ственный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</w:t>
      </w:r>
      <w:proofErr w:type="gramStart"/>
      <w:r w:rsidRPr="00D534E9">
        <w:rPr>
          <w:sz w:val="24"/>
          <w:szCs w:val="24"/>
        </w:rPr>
        <w:t>дств пр</w:t>
      </w:r>
      <w:proofErr w:type="gramEnd"/>
      <w:r w:rsidRPr="00D534E9">
        <w:rPr>
          <w:sz w:val="24"/>
          <w:szCs w:val="24"/>
        </w:rPr>
        <w:t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lastRenderedPageBreak/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D534E9" w:rsidRDefault="00D534E9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51436" w:rsidRDefault="00CD2BF7" w:rsidP="007466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36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951436">
        <w:rPr>
          <w:rFonts w:ascii="Times New Roman" w:hAnsi="Times New Roman"/>
          <w:sz w:val="24"/>
          <w:szCs w:val="24"/>
        </w:rPr>
        <w:t xml:space="preserve"> указания  для обучающихся по освоению дисциплины «Бизнес-планирование»/ А.И. </w:t>
      </w:r>
      <w:proofErr w:type="spellStart"/>
      <w:r w:rsidRPr="00951436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951436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E0B93">
        <w:rPr>
          <w:rFonts w:ascii="Times New Roman" w:hAnsi="Times New Roman"/>
          <w:sz w:val="24"/>
          <w:szCs w:val="24"/>
        </w:rPr>
        <w:t>23</w:t>
      </w:r>
      <w:r w:rsidRPr="00951436">
        <w:rPr>
          <w:rFonts w:ascii="Times New Roman" w:hAnsi="Times New Roman"/>
          <w:sz w:val="24"/>
          <w:szCs w:val="24"/>
        </w:rPr>
        <w:t xml:space="preserve">. 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514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95143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951436">
        <w:rPr>
          <w:b/>
          <w:bCs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397A8C" w:rsidRPr="00397A8C" w:rsidRDefault="00397A8C" w:rsidP="0095143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С.А. Бизнес-планирование [Электронный ресурс]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учебное пособие / С.А. </w:t>
      </w: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97A8C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397A8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Воронеж: Воронежский государственный архитектурно-строительный университет, ЭБС АСВ, 2015. — 266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978-5-89040-555-5. — Режим доступа: </w:t>
      </w:r>
      <w:hyperlink r:id="rId8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http://www.iprbookshop.ru/54994.html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397A8C" w:rsidRPr="00397A8C" w:rsidRDefault="00397A8C" w:rsidP="00397A8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397A8C">
        <w:rPr>
          <w:sz w:val="24"/>
          <w:szCs w:val="24"/>
        </w:rPr>
        <w:t>Горбунов В.Л. Бизнес-планирование [Электронный ресурс] / В.Л. Горбунов. — Электрон</w:t>
      </w:r>
      <w:proofErr w:type="gramStart"/>
      <w:r w:rsidRPr="00397A8C">
        <w:rPr>
          <w:sz w:val="24"/>
          <w:szCs w:val="24"/>
        </w:rPr>
        <w:t>.</w:t>
      </w:r>
      <w:proofErr w:type="gramEnd"/>
      <w:r w:rsidRPr="00397A8C">
        <w:rPr>
          <w:sz w:val="24"/>
          <w:szCs w:val="24"/>
        </w:rPr>
        <w:t xml:space="preserve"> </w:t>
      </w:r>
      <w:proofErr w:type="gramStart"/>
      <w:r w:rsidRPr="00397A8C">
        <w:rPr>
          <w:sz w:val="24"/>
          <w:szCs w:val="24"/>
        </w:rPr>
        <w:t>т</w:t>
      </w:r>
      <w:proofErr w:type="gramEnd"/>
      <w:r w:rsidRPr="00397A8C">
        <w:rPr>
          <w:sz w:val="24"/>
          <w:szCs w:val="24"/>
        </w:rPr>
        <w:t>екстовые данные. — М.</w:t>
      </w:r>
      <w:proofErr w:type="gramStart"/>
      <w:r w:rsidRPr="00397A8C">
        <w:rPr>
          <w:sz w:val="24"/>
          <w:szCs w:val="24"/>
        </w:rPr>
        <w:t xml:space="preserve"> :</w:t>
      </w:r>
      <w:proofErr w:type="gramEnd"/>
      <w:r w:rsidRPr="00397A8C">
        <w:rPr>
          <w:sz w:val="24"/>
          <w:szCs w:val="24"/>
        </w:rPr>
        <w:t xml:space="preserve"> Интернет-Университет Информационных Технологий (ИНТУИТ), 2016. — 141 </w:t>
      </w:r>
      <w:proofErr w:type="spellStart"/>
      <w:r w:rsidRPr="00397A8C">
        <w:rPr>
          <w:sz w:val="24"/>
          <w:szCs w:val="24"/>
        </w:rPr>
        <w:t>c</w:t>
      </w:r>
      <w:proofErr w:type="spellEnd"/>
      <w:r w:rsidRPr="00397A8C">
        <w:rPr>
          <w:sz w:val="24"/>
          <w:szCs w:val="24"/>
        </w:rPr>
        <w:t xml:space="preserve">. — 2227-8397. — Режим доступа: </w:t>
      </w:r>
      <w:hyperlink r:id="rId9" w:history="1">
        <w:r w:rsidR="00431BCD">
          <w:rPr>
            <w:rStyle w:val="a7"/>
            <w:sz w:val="24"/>
            <w:szCs w:val="24"/>
          </w:rPr>
          <w:t>http://www.iprbookshop.ru/56371.html</w:t>
        </w:r>
      </w:hyperlink>
      <w:r w:rsidRPr="00397A8C">
        <w:rPr>
          <w:sz w:val="24"/>
          <w:szCs w:val="24"/>
        </w:rPr>
        <w:t xml:space="preserve"> </w:t>
      </w:r>
    </w:p>
    <w:p w:rsidR="00646CEF" w:rsidRPr="00397A8C" w:rsidRDefault="00397A8C" w:rsidP="00397A8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Ю.Ю. Основы производственного менеджмента. Бизнес планирование [Электронный ресурс]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учебное пособие / Ю.Ю. </w:t>
      </w: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>, О.О. Скрябин, Е.Н. Елисеева.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Издательский Дом </w:t>
      </w:r>
      <w:proofErr w:type="spellStart"/>
      <w:r w:rsidRPr="00397A8C">
        <w:rPr>
          <w:rFonts w:ascii="Times New Roman" w:hAnsi="Times New Roman"/>
          <w:sz w:val="24"/>
          <w:szCs w:val="24"/>
        </w:rPr>
        <w:t>МИСиС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2013. — 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978-5-87623-753-8. — Режим доступа: </w:t>
      </w:r>
      <w:hyperlink r:id="rId10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http://www.iprbookshop.ru/56233.html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705814" w:rsidRPr="00397A8C" w:rsidRDefault="00705814" w:rsidP="00951436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97A8C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</w:t>
      </w:r>
      <w:r w:rsidR="00705FB5" w:rsidRPr="00397A8C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97A8C" w:rsidRPr="00397A8C" w:rsidRDefault="00CC35D7" w:rsidP="00397A8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Дубровин И.А. Бизнес-планирование на предприятии (2-е издание) [Электронный ресурс]: учебник для бакалавров/ Дубровин И.А.— Электрон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М.: Дашков и К, 2013.— 431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431BCD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  <w:r w:rsidR="00397A8C" w:rsidRPr="00397A8C">
        <w:rPr>
          <w:rFonts w:ascii="Times New Roman" w:hAnsi="Times New Roman"/>
          <w:sz w:val="24"/>
          <w:szCs w:val="24"/>
        </w:rPr>
        <w:t xml:space="preserve">   </w:t>
      </w:r>
      <w:r w:rsidR="00951436" w:rsidRPr="00397A8C">
        <w:rPr>
          <w:rFonts w:ascii="Times New Roman" w:hAnsi="Times New Roman"/>
          <w:sz w:val="24"/>
          <w:szCs w:val="24"/>
        </w:rPr>
        <w:t xml:space="preserve"> </w:t>
      </w:r>
    </w:p>
    <w:p w:rsidR="007F4B97" w:rsidRPr="00397A8C" w:rsidRDefault="00397A8C" w:rsidP="00397A8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sz w:val="24"/>
          <w:szCs w:val="24"/>
        </w:rPr>
        <w:t>Орлова П.И. Бизнес-планирование [Электронный ресурс] : учебник для бакалавров / П.И. Орлова. — 2-е изд.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Дашков и К, Ай Пи Эр </w:t>
      </w:r>
      <w:proofErr w:type="spellStart"/>
      <w:r w:rsidRPr="00397A8C">
        <w:rPr>
          <w:rFonts w:ascii="Times New Roman" w:hAnsi="Times New Roman"/>
          <w:sz w:val="24"/>
          <w:szCs w:val="24"/>
        </w:rPr>
        <w:t>Медиа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2018. — 286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978-5-394-02432-0. — Режим доступа: </w:t>
      </w:r>
      <w:hyperlink r:id="rId12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http://www.iprbookshop.ru/75227.html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397A8C" w:rsidRDefault="00397A8C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514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337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514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 xml:space="preserve">«Бизнес-планирование»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793E1B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927E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514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2637B5" w:rsidRDefault="002637B5" w:rsidP="002637B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D9337D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73B9C">
        <w:rPr>
          <w:b/>
          <w:color w:val="000000"/>
          <w:sz w:val="24"/>
          <w:szCs w:val="24"/>
        </w:rPr>
        <w:t>1</w:t>
      </w:r>
      <w:r w:rsidR="00951436">
        <w:rPr>
          <w:b/>
          <w:color w:val="000000"/>
          <w:sz w:val="24"/>
          <w:szCs w:val="24"/>
        </w:rPr>
        <w:t>1</w:t>
      </w:r>
      <w:r w:rsidRPr="00D73B9C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3B9C">
        <w:rPr>
          <w:sz w:val="24"/>
          <w:szCs w:val="24"/>
        </w:rPr>
        <w:t>Для осуществления образовательного процесса по дисциплине «Бизнес-планирование»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431BCD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431BCD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951436" w:rsidRPr="0018044B" w:rsidRDefault="000035F0" w:rsidP="0095143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="00951436" w:rsidRPr="0018044B">
        <w:rPr>
          <w:sz w:val="24"/>
          <w:szCs w:val="24"/>
        </w:rPr>
        <w:t xml:space="preserve"> САБ ИРБИС 64.</w:t>
      </w:r>
      <w:r w:rsidR="00951436" w:rsidRPr="0018044B">
        <w:rPr>
          <w:sz w:val="24"/>
          <w:szCs w:val="24"/>
        </w:rPr>
        <w:tab/>
      </w:r>
    </w:p>
    <w:p w:rsidR="00FA5C55" w:rsidRPr="00D443FF" w:rsidRDefault="00FA5C55" w:rsidP="00646CE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D" w:rsidRDefault="0032237D" w:rsidP="00160BC1">
      <w:r>
        <w:separator/>
      </w:r>
    </w:p>
  </w:endnote>
  <w:endnote w:type="continuationSeparator" w:id="0">
    <w:p w:rsidR="0032237D" w:rsidRDefault="003223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D" w:rsidRDefault="0032237D" w:rsidP="00160BC1">
      <w:r>
        <w:separator/>
      </w:r>
    </w:p>
  </w:footnote>
  <w:footnote w:type="continuationSeparator" w:id="0">
    <w:p w:rsidR="0032237D" w:rsidRDefault="003223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413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1C2"/>
    <w:multiLevelType w:val="hybridMultilevel"/>
    <w:tmpl w:val="FE1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C1"/>
    <w:rsid w:val="000020BC"/>
    <w:rsid w:val="000035F0"/>
    <w:rsid w:val="00027D2C"/>
    <w:rsid w:val="00027E5B"/>
    <w:rsid w:val="00030E91"/>
    <w:rsid w:val="00037461"/>
    <w:rsid w:val="00051AEE"/>
    <w:rsid w:val="00051C9C"/>
    <w:rsid w:val="00060A01"/>
    <w:rsid w:val="0006191D"/>
    <w:rsid w:val="0006284C"/>
    <w:rsid w:val="00064AA9"/>
    <w:rsid w:val="00066B8C"/>
    <w:rsid w:val="000835F5"/>
    <w:rsid w:val="000875BF"/>
    <w:rsid w:val="000911D1"/>
    <w:rsid w:val="00097FEA"/>
    <w:rsid w:val="000A33BD"/>
    <w:rsid w:val="000A4FAC"/>
    <w:rsid w:val="000B1331"/>
    <w:rsid w:val="000B40A9"/>
    <w:rsid w:val="000B7795"/>
    <w:rsid w:val="000C4546"/>
    <w:rsid w:val="000C69C3"/>
    <w:rsid w:val="000D07C6"/>
    <w:rsid w:val="000D4429"/>
    <w:rsid w:val="000D6799"/>
    <w:rsid w:val="000D6DE5"/>
    <w:rsid w:val="000D715B"/>
    <w:rsid w:val="000E37E9"/>
    <w:rsid w:val="00102E02"/>
    <w:rsid w:val="00104A75"/>
    <w:rsid w:val="00114770"/>
    <w:rsid w:val="001154C3"/>
    <w:rsid w:val="001165D0"/>
    <w:rsid w:val="001166B7"/>
    <w:rsid w:val="001167A8"/>
    <w:rsid w:val="00117905"/>
    <w:rsid w:val="00122FFC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4E8E"/>
    <w:rsid w:val="00181AAB"/>
    <w:rsid w:val="00184F65"/>
    <w:rsid w:val="001871AA"/>
    <w:rsid w:val="001A2C1D"/>
    <w:rsid w:val="001A6533"/>
    <w:rsid w:val="001C37AB"/>
    <w:rsid w:val="001C489D"/>
    <w:rsid w:val="001C4FED"/>
    <w:rsid w:val="001C6305"/>
    <w:rsid w:val="001D7E91"/>
    <w:rsid w:val="001E6533"/>
    <w:rsid w:val="001F11DE"/>
    <w:rsid w:val="001F336C"/>
    <w:rsid w:val="001F3561"/>
    <w:rsid w:val="00207E2E"/>
    <w:rsid w:val="00207FB7"/>
    <w:rsid w:val="00211C1B"/>
    <w:rsid w:val="00220E92"/>
    <w:rsid w:val="00231162"/>
    <w:rsid w:val="00240A81"/>
    <w:rsid w:val="00245199"/>
    <w:rsid w:val="00255197"/>
    <w:rsid w:val="002637B5"/>
    <w:rsid w:val="00265500"/>
    <w:rsid w:val="002657BC"/>
    <w:rsid w:val="00276128"/>
    <w:rsid w:val="00276A03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0E2E"/>
    <w:rsid w:val="002C226A"/>
    <w:rsid w:val="002C2EAE"/>
    <w:rsid w:val="002C3F08"/>
    <w:rsid w:val="002C4DDD"/>
    <w:rsid w:val="002C7582"/>
    <w:rsid w:val="002D23AF"/>
    <w:rsid w:val="002D6AC0"/>
    <w:rsid w:val="002E3773"/>
    <w:rsid w:val="002E4CB7"/>
    <w:rsid w:val="00314A17"/>
    <w:rsid w:val="00315AB7"/>
    <w:rsid w:val="00316EB8"/>
    <w:rsid w:val="0032166A"/>
    <w:rsid w:val="0032237D"/>
    <w:rsid w:val="00330957"/>
    <w:rsid w:val="0033180D"/>
    <w:rsid w:val="0033546E"/>
    <w:rsid w:val="00355C7E"/>
    <w:rsid w:val="003618C2"/>
    <w:rsid w:val="00363097"/>
    <w:rsid w:val="00364653"/>
    <w:rsid w:val="00365758"/>
    <w:rsid w:val="003668E3"/>
    <w:rsid w:val="00390B62"/>
    <w:rsid w:val="0039195A"/>
    <w:rsid w:val="00392FA2"/>
    <w:rsid w:val="00397A8C"/>
    <w:rsid w:val="003A3494"/>
    <w:rsid w:val="003A57B5"/>
    <w:rsid w:val="003A6FB0"/>
    <w:rsid w:val="003A71E4"/>
    <w:rsid w:val="003B1451"/>
    <w:rsid w:val="003B7F71"/>
    <w:rsid w:val="003D1684"/>
    <w:rsid w:val="003D47C6"/>
    <w:rsid w:val="003D654A"/>
    <w:rsid w:val="003E329B"/>
    <w:rsid w:val="00400491"/>
    <w:rsid w:val="00407242"/>
    <w:rsid w:val="00407404"/>
    <w:rsid w:val="004110F5"/>
    <w:rsid w:val="00416729"/>
    <w:rsid w:val="00431BCD"/>
    <w:rsid w:val="00435249"/>
    <w:rsid w:val="004551D0"/>
    <w:rsid w:val="0046365B"/>
    <w:rsid w:val="0047224A"/>
    <w:rsid w:val="0047572F"/>
    <w:rsid w:val="0047633A"/>
    <w:rsid w:val="00482F4C"/>
    <w:rsid w:val="0048300E"/>
    <w:rsid w:val="0049217A"/>
    <w:rsid w:val="00493EC8"/>
    <w:rsid w:val="004960CB"/>
    <w:rsid w:val="004A1B8E"/>
    <w:rsid w:val="004A2C0D"/>
    <w:rsid w:val="004A2E62"/>
    <w:rsid w:val="004A68C9"/>
    <w:rsid w:val="004B13BA"/>
    <w:rsid w:val="004C287A"/>
    <w:rsid w:val="004C5815"/>
    <w:rsid w:val="004C6DB3"/>
    <w:rsid w:val="004D3618"/>
    <w:rsid w:val="004E0C3F"/>
    <w:rsid w:val="004E3D82"/>
    <w:rsid w:val="004E4361"/>
    <w:rsid w:val="004E4CD6"/>
    <w:rsid w:val="004E4DB2"/>
    <w:rsid w:val="004E62F1"/>
    <w:rsid w:val="004E753A"/>
    <w:rsid w:val="004F3C72"/>
    <w:rsid w:val="00505903"/>
    <w:rsid w:val="00516F43"/>
    <w:rsid w:val="00527102"/>
    <w:rsid w:val="005362E6"/>
    <w:rsid w:val="00537A62"/>
    <w:rsid w:val="00540F31"/>
    <w:rsid w:val="00565480"/>
    <w:rsid w:val="005669CB"/>
    <w:rsid w:val="0056703E"/>
    <w:rsid w:val="00570C40"/>
    <w:rsid w:val="00572F9F"/>
    <w:rsid w:val="0057390B"/>
    <w:rsid w:val="005816EA"/>
    <w:rsid w:val="00582969"/>
    <w:rsid w:val="00583C2E"/>
    <w:rsid w:val="00584FE8"/>
    <w:rsid w:val="00586702"/>
    <w:rsid w:val="00586FAD"/>
    <w:rsid w:val="005915BA"/>
    <w:rsid w:val="00591B36"/>
    <w:rsid w:val="005A175B"/>
    <w:rsid w:val="005A28FC"/>
    <w:rsid w:val="005A543E"/>
    <w:rsid w:val="005A7B91"/>
    <w:rsid w:val="005B0548"/>
    <w:rsid w:val="005B47CE"/>
    <w:rsid w:val="005C13E4"/>
    <w:rsid w:val="005C20F0"/>
    <w:rsid w:val="005C2216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46CEF"/>
    <w:rsid w:val="00652F57"/>
    <w:rsid w:val="0065477D"/>
    <w:rsid w:val="0065606F"/>
    <w:rsid w:val="00656AC4"/>
    <w:rsid w:val="0066640C"/>
    <w:rsid w:val="00676914"/>
    <w:rsid w:val="006808C7"/>
    <w:rsid w:val="00683821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371C8"/>
    <w:rsid w:val="00741155"/>
    <w:rsid w:val="00746638"/>
    <w:rsid w:val="00747588"/>
    <w:rsid w:val="00747ADA"/>
    <w:rsid w:val="00750247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A4D"/>
    <w:rsid w:val="00801B83"/>
    <w:rsid w:val="00802695"/>
    <w:rsid w:val="00806B69"/>
    <w:rsid w:val="00820D1B"/>
    <w:rsid w:val="00823333"/>
    <w:rsid w:val="00823E5A"/>
    <w:rsid w:val="00827A34"/>
    <w:rsid w:val="00835396"/>
    <w:rsid w:val="008423FF"/>
    <w:rsid w:val="00842D9D"/>
    <w:rsid w:val="00857299"/>
    <w:rsid w:val="00857FC8"/>
    <w:rsid w:val="00860CA4"/>
    <w:rsid w:val="0086651C"/>
    <w:rsid w:val="0088272E"/>
    <w:rsid w:val="00884E5D"/>
    <w:rsid w:val="00892C2A"/>
    <w:rsid w:val="0089368C"/>
    <w:rsid w:val="0089468E"/>
    <w:rsid w:val="008B3964"/>
    <w:rsid w:val="008B6331"/>
    <w:rsid w:val="008C579E"/>
    <w:rsid w:val="008E1D84"/>
    <w:rsid w:val="008E5E59"/>
    <w:rsid w:val="008E7060"/>
    <w:rsid w:val="008F22C4"/>
    <w:rsid w:val="008F44E5"/>
    <w:rsid w:val="008F52FE"/>
    <w:rsid w:val="00920199"/>
    <w:rsid w:val="00921868"/>
    <w:rsid w:val="0094149E"/>
    <w:rsid w:val="00941875"/>
    <w:rsid w:val="00943DB8"/>
    <w:rsid w:val="00951436"/>
    <w:rsid w:val="00951F6B"/>
    <w:rsid w:val="009528CA"/>
    <w:rsid w:val="00952B93"/>
    <w:rsid w:val="00954E45"/>
    <w:rsid w:val="00965998"/>
    <w:rsid w:val="0097676E"/>
    <w:rsid w:val="00981E21"/>
    <w:rsid w:val="009927ED"/>
    <w:rsid w:val="009B7136"/>
    <w:rsid w:val="009E35D2"/>
    <w:rsid w:val="009F4070"/>
    <w:rsid w:val="00A13BAA"/>
    <w:rsid w:val="00A25BE5"/>
    <w:rsid w:val="00A275E4"/>
    <w:rsid w:val="00A32A5F"/>
    <w:rsid w:val="00A37B44"/>
    <w:rsid w:val="00A44F9E"/>
    <w:rsid w:val="00A52FFE"/>
    <w:rsid w:val="00A567CD"/>
    <w:rsid w:val="00A63D90"/>
    <w:rsid w:val="00A75675"/>
    <w:rsid w:val="00A76E53"/>
    <w:rsid w:val="00A83EBD"/>
    <w:rsid w:val="00A91052"/>
    <w:rsid w:val="00A9607B"/>
    <w:rsid w:val="00A96C48"/>
    <w:rsid w:val="00AA2A29"/>
    <w:rsid w:val="00AA2BCD"/>
    <w:rsid w:val="00AA4121"/>
    <w:rsid w:val="00AA760C"/>
    <w:rsid w:val="00AB2091"/>
    <w:rsid w:val="00AD0669"/>
    <w:rsid w:val="00AD208A"/>
    <w:rsid w:val="00AD4A3C"/>
    <w:rsid w:val="00AE3177"/>
    <w:rsid w:val="00AE5289"/>
    <w:rsid w:val="00AE7DC0"/>
    <w:rsid w:val="00AE7E80"/>
    <w:rsid w:val="00AF61EB"/>
    <w:rsid w:val="00B14050"/>
    <w:rsid w:val="00B43F9B"/>
    <w:rsid w:val="00B44FF6"/>
    <w:rsid w:val="00B47F12"/>
    <w:rsid w:val="00B5209B"/>
    <w:rsid w:val="00B542D4"/>
    <w:rsid w:val="00B54421"/>
    <w:rsid w:val="00B642B8"/>
    <w:rsid w:val="00B67A77"/>
    <w:rsid w:val="00B76CF1"/>
    <w:rsid w:val="00B817E2"/>
    <w:rsid w:val="00BB020F"/>
    <w:rsid w:val="00BB6C9A"/>
    <w:rsid w:val="00BB70FB"/>
    <w:rsid w:val="00BC0A42"/>
    <w:rsid w:val="00BD471B"/>
    <w:rsid w:val="00BE023D"/>
    <w:rsid w:val="00BF22FC"/>
    <w:rsid w:val="00C00DA5"/>
    <w:rsid w:val="00C1245E"/>
    <w:rsid w:val="00C21B6B"/>
    <w:rsid w:val="00C228C5"/>
    <w:rsid w:val="00C24EA8"/>
    <w:rsid w:val="00C26026"/>
    <w:rsid w:val="00C30DBF"/>
    <w:rsid w:val="00C33468"/>
    <w:rsid w:val="00C3475E"/>
    <w:rsid w:val="00C40C06"/>
    <w:rsid w:val="00C501F9"/>
    <w:rsid w:val="00C55E91"/>
    <w:rsid w:val="00C70CA1"/>
    <w:rsid w:val="00C76C70"/>
    <w:rsid w:val="00C907AE"/>
    <w:rsid w:val="00C90A7A"/>
    <w:rsid w:val="00C93F61"/>
    <w:rsid w:val="00C94464"/>
    <w:rsid w:val="00C953C9"/>
    <w:rsid w:val="00C976F5"/>
    <w:rsid w:val="00CA401A"/>
    <w:rsid w:val="00CB193F"/>
    <w:rsid w:val="00CB27ED"/>
    <w:rsid w:val="00CB61D6"/>
    <w:rsid w:val="00CC0F53"/>
    <w:rsid w:val="00CC2E7E"/>
    <w:rsid w:val="00CC35D7"/>
    <w:rsid w:val="00CD2BF7"/>
    <w:rsid w:val="00CE0B93"/>
    <w:rsid w:val="00CE6C4B"/>
    <w:rsid w:val="00CF12C6"/>
    <w:rsid w:val="00CF2B2F"/>
    <w:rsid w:val="00CF6292"/>
    <w:rsid w:val="00CF6B12"/>
    <w:rsid w:val="00D02EB8"/>
    <w:rsid w:val="00D03164"/>
    <w:rsid w:val="00D152E4"/>
    <w:rsid w:val="00D1753D"/>
    <w:rsid w:val="00D225A3"/>
    <w:rsid w:val="00D23EFA"/>
    <w:rsid w:val="00D3054A"/>
    <w:rsid w:val="00D34B66"/>
    <w:rsid w:val="00D43414"/>
    <w:rsid w:val="00D44188"/>
    <w:rsid w:val="00D443FF"/>
    <w:rsid w:val="00D534E9"/>
    <w:rsid w:val="00D63339"/>
    <w:rsid w:val="00D73B9C"/>
    <w:rsid w:val="00D761E8"/>
    <w:rsid w:val="00D83177"/>
    <w:rsid w:val="00D8506D"/>
    <w:rsid w:val="00D90307"/>
    <w:rsid w:val="00D92CFF"/>
    <w:rsid w:val="00D9337D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6660"/>
    <w:rsid w:val="00DD03B9"/>
    <w:rsid w:val="00DD2537"/>
    <w:rsid w:val="00DD6EB4"/>
    <w:rsid w:val="00DE38F3"/>
    <w:rsid w:val="00DF1076"/>
    <w:rsid w:val="00DF26AA"/>
    <w:rsid w:val="00DF4D20"/>
    <w:rsid w:val="00DF7ED6"/>
    <w:rsid w:val="00E01106"/>
    <w:rsid w:val="00E02CDE"/>
    <w:rsid w:val="00E11452"/>
    <w:rsid w:val="00E42AED"/>
    <w:rsid w:val="00E4451A"/>
    <w:rsid w:val="00E53D70"/>
    <w:rsid w:val="00E65B3C"/>
    <w:rsid w:val="00E71D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6F17"/>
    <w:rsid w:val="00F226CA"/>
    <w:rsid w:val="00F239D1"/>
    <w:rsid w:val="00F27424"/>
    <w:rsid w:val="00F322E1"/>
    <w:rsid w:val="00F33A6F"/>
    <w:rsid w:val="00F342F7"/>
    <w:rsid w:val="00F40FEC"/>
    <w:rsid w:val="00F42549"/>
    <w:rsid w:val="00F46332"/>
    <w:rsid w:val="00F625A5"/>
    <w:rsid w:val="00F63ADF"/>
    <w:rsid w:val="00F63BBC"/>
    <w:rsid w:val="00F8007A"/>
    <w:rsid w:val="00F803A3"/>
    <w:rsid w:val="00F85EA5"/>
    <w:rsid w:val="00F90773"/>
    <w:rsid w:val="00F96A96"/>
    <w:rsid w:val="00FA5C55"/>
    <w:rsid w:val="00FA665D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customStyle="1" w:styleId="UnresolvedMention">
    <w:name w:val="Unresolved Mention"/>
    <w:basedOn w:val="a0"/>
    <w:uiPriority w:val="99"/>
    <w:semiHidden/>
    <w:unhideWhenUsed/>
    <w:rsid w:val="00D933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2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623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F53F-A5CE-42EA-B80B-71300558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29</cp:revision>
  <cp:lastPrinted>2018-12-05T07:34:00Z</cp:lastPrinted>
  <dcterms:created xsi:type="dcterms:W3CDTF">2018-09-21T04:08:00Z</dcterms:created>
  <dcterms:modified xsi:type="dcterms:W3CDTF">2023-06-05T08:38:00Z</dcterms:modified>
</cp:coreProperties>
</file>